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center"/>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AVIS DE COURSE                 </w:t>
      </w:r>
      <w:r w:rsidDel="00000000" w:rsidR="00000000" w:rsidRPr="00000000">
        <w:rPr>
          <w:rtl w:val="0"/>
        </w:rPr>
      </w:r>
    </w:p>
    <w:tbl>
      <w:tblPr>
        <w:tblStyle w:val="Table1"/>
        <w:tblW w:w="9212.0" w:type="dxa"/>
        <w:jc w:val="left"/>
        <w:tblInd w:w="-108.0" w:type="dxa"/>
        <w:tblLayout w:type="fixed"/>
        <w:tblLook w:val="0000"/>
      </w:tblPr>
      <w:tblGrid>
        <w:gridCol w:w="9212"/>
        <w:tblGridChange w:id="0">
          <w:tblGrid>
            <w:gridCol w:w="9212"/>
          </w:tblGrid>
        </w:tblGridChange>
      </w:tblGrid>
      <w:tr>
        <w:trPr>
          <w:cantSplit w:val="0"/>
          <w:trHeight w:val="1249" w:hRule="atLeast"/>
          <w:tblHeader w:val="0"/>
        </w:trPr>
        <w:tc>
          <w:tcPr>
            <w:vAlign w:val="top"/>
          </w:tcPr>
          <w:p w:rsidR="00000000" w:rsidDel="00000000" w:rsidP="00000000" w:rsidRDefault="00000000" w:rsidRPr="00000000" w14:paraId="00000002">
            <w:pPr>
              <w:tabs>
                <w:tab w:val="left" w:leader="none" w:pos="9356"/>
              </w:tabs>
              <w:ind w:right="-6"/>
              <w:jc w:val="both"/>
              <w:rPr>
                <w:vertAlign w:val="baseline"/>
              </w:rPr>
            </w:pPr>
            <w:r w:rsidDel="00000000" w:rsidR="00000000" w:rsidRPr="00000000">
              <w:rPr>
                <w:rtl w:val="0"/>
              </w:rPr>
            </w:r>
          </w:p>
          <w:p w:rsidR="00000000" w:rsidDel="00000000" w:rsidP="00000000" w:rsidRDefault="00000000" w:rsidRPr="00000000" w14:paraId="00000003">
            <w:pPr>
              <w:tabs>
                <w:tab w:val="left" w:leader="none" w:pos="9356"/>
              </w:tabs>
              <w:ind w:right="-6"/>
              <w:jc w:val="center"/>
              <w:rPr>
                <w:rFonts w:ascii="Arial" w:cs="Arial" w:eastAsia="Arial" w:hAnsi="Arial"/>
              </w:rPr>
            </w:pPr>
            <w:r w:rsidDel="00000000" w:rsidR="00000000" w:rsidRPr="00000000">
              <w:rPr>
                <w:rFonts w:ascii="Arial" w:cs="Arial" w:eastAsia="Arial" w:hAnsi="Arial"/>
                <w:b w:val="1"/>
                <w:rtl w:val="0"/>
              </w:rPr>
              <w:t xml:space="preserve">Nom de la compétition : Régate départementale maquereaux cup  - grade 5B</w:t>
            </w:r>
            <w:r w:rsidDel="00000000" w:rsidR="00000000" w:rsidRPr="00000000">
              <w:rPr>
                <w:rtl w:val="0"/>
              </w:rPr>
            </w:r>
          </w:p>
          <w:p w:rsidR="00000000" w:rsidDel="00000000" w:rsidP="00000000" w:rsidRDefault="00000000" w:rsidRPr="00000000" w14:paraId="00000004">
            <w:pPr>
              <w:tabs>
                <w:tab w:val="left" w:leader="none" w:pos="9356"/>
              </w:tabs>
              <w:rPr>
                <w:rFonts w:ascii="Arial" w:cs="Arial" w:eastAsia="Arial" w:hAnsi="Arial"/>
                <w:b w:val="1"/>
              </w:rPr>
            </w:pPr>
            <w:r w:rsidDel="00000000" w:rsidR="00000000" w:rsidRPr="00000000">
              <w:rPr>
                <w:rtl w:val="0"/>
              </w:rPr>
              <w:t xml:space="preserve">                                                                  </w:t>
            </w:r>
            <w:r w:rsidDel="00000000" w:rsidR="00000000" w:rsidRPr="00000000">
              <w:rPr>
                <w:rFonts w:ascii="Arial" w:cs="Arial" w:eastAsia="Arial" w:hAnsi="Arial"/>
                <w:b w:val="1"/>
                <w:rtl w:val="0"/>
              </w:rPr>
              <w:t xml:space="preserve">Dates complète : 31 août 2025</w:t>
            </w:r>
          </w:p>
          <w:p w:rsidR="00000000" w:rsidDel="00000000" w:rsidP="00000000" w:rsidRDefault="00000000" w:rsidRPr="00000000" w14:paraId="00000005">
            <w:pPr>
              <w:tabs>
                <w:tab w:val="left" w:leader="none" w:pos="9356"/>
              </w:tabs>
              <w:rPr>
                <w:rFonts w:ascii="Arial" w:cs="Arial" w:eastAsia="Arial" w:hAnsi="Arial"/>
                <w:b w:val="1"/>
              </w:rPr>
            </w:pPr>
            <w:r w:rsidDel="00000000" w:rsidR="00000000" w:rsidRPr="00000000">
              <w:rPr>
                <w:rFonts w:ascii="Arial" w:cs="Arial" w:eastAsia="Arial" w:hAnsi="Arial"/>
                <w:b w:val="1"/>
                <w:rtl w:val="0"/>
              </w:rPr>
              <w:t xml:space="preserve">                                                            Lieu : CNDP Boissettes</w:t>
            </w:r>
          </w:p>
          <w:p w:rsidR="00000000" w:rsidDel="00000000" w:rsidP="00000000" w:rsidRDefault="00000000" w:rsidRPr="00000000" w14:paraId="00000006">
            <w:pPr>
              <w:tabs>
                <w:tab w:val="left" w:leader="none" w:pos="9356"/>
              </w:tabs>
              <w:ind w:right="-6"/>
              <w:jc w:val="center"/>
              <w:rPr/>
            </w:pPr>
            <w:r w:rsidDel="00000000" w:rsidR="00000000" w:rsidRPr="00000000">
              <w:rPr>
                <w:rFonts w:ascii="Arial" w:cs="Arial" w:eastAsia="Arial" w:hAnsi="Arial"/>
                <w:b w:val="1"/>
                <w:rtl w:val="0"/>
              </w:rPr>
              <w:t xml:space="preserve">Autorité Organisatrice : CNDP - 77011</w:t>
            </w:r>
            <w:r w:rsidDel="00000000" w:rsidR="00000000" w:rsidRPr="00000000">
              <w:rPr>
                <w:rtl w:val="0"/>
              </w:rPr>
            </w:r>
          </w:p>
        </w:tc>
      </w:tr>
    </w:tbl>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tab/>
      </w:r>
      <w:r w:rsidDel="00000000" w:rsidR="00000000" w:rsidRPr="00000000">
        <w:rPr>
          <w:rFonts w:ascii="Arial" w:cs="Arial" w:eastAsia="Arial" w:hAnsi="Arial"/>
          <w:b w:val="1"/>
          <w:rtl w:val="0"/>
        </w:rPr>
        <w:t xml:space="preserve">RÈGLES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u w:val="no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régate sera régie par :</w:t>
      </w:r>
      <w:r w:rsidDel="00000000" w:rsidR="00000000" w:rsidRPr="00000000">
        <w:rPr>
          <w:rtl w:val="0"/>
        </w:rPr>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1.1</w:t>
        <w:tab/>
        <w:t xml:space="preserve">les règles telles que définies dans </w:t>
      </w:r>
      <w:r w:rsidDel="00000000" w:rsidR="00000000" w:rsidRPr="00000000">
        <w:rPr>
          <w:rFonts w:ascii="Arial" w:cs="Arial" w:eastAsia="Arial" w:hAnsi="Arial"/>
          <w:i w:val="1"/>
          <w:vertAlign w:val="baseline"/>
          <w:rtl w:val="0"/>
        </w:rPr>
        <w:t xml:space="preserve">Les Règles de Course à la Voile </w:t>
      </w:r>
      <w:r w:rsidDel="00000000" w:rsidR="00000000" w:rsidRPr="00000000">
        <w:rPr>
          <w:rFonts w:ascii="Arial" w:cs="Arial" w:eastAsia="Arial" w:hAnsi="Arial"/>
          <w:vertAlign w:val="baseline"/>
          <w:rtl w:val="0"/>
        </w:rPr>
        <w:t xml:space="preserve">(RCV),</w:t>
      </w:r>
    </w:p>
    <w:p w:rsidR="00000000" w:rsidDel="00000000" w:rsidP="00000000" w:rsidRDefault="00000000" w:rsidRPr="00000000" w14:paraId="0000000E">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w:t>
        <w:tab/>
        <w:t xml:space="preserve">les prescriptions nationales s'appliquant aux concurrents étrangers précisées en annexe « Prescriptions » si nécessaire,</w:t>
      </w:r>
    </w:p>
    <w:p w:rsidR="00000000" w:rsidDel="00000000" w:rsidP="00000000" w:rsidRDefault="00000000" w:rsidRPr="00000000" w14:paraId="0000000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w:t>
        <w:tab/>
        <w:t xml:space="preserve">les règlements fédéraux.</w:t>
      </w:r>
    </w:p>
    <w:p w:rsidR="00000000" w:rsidDel="00000000" w:rsidP="00000000" w:rsidRDefault="00000000" w:rsidRPr="00000000" w14:paraId="00000010">
      <w:pPr>
        <w:jc w:val="both"/>
        <w:rPr>
          <w:rFonts w:ascii="Arial" w:cs="Arial" w:eastAsia="Arial" w:hAnsi="Arial"/>
          <w:i w:val="0"/>
          <w:vertAlign w:val="baseline"/>
        </w:rPr>
      </w:pPr>
      <w:r w:rsidDel="00000000" w:rsidR="00000000" w:rsidRPr="00000000">
        <w:rPr>
          <w:rFonts w:ascii="Arial" w:cs="Arial" w:eastAsia="Arial" w:hAnsi="Arial"/>
          <w:vertAlign w:val="baseline"/>
          <w:rtl w:val="0"/>
        </w:rPr>
        <w:t xml:space="preserve">1.4</w:t>
        <w:tab/>
        <w:t xml:space="preserve">En cas de traduction de cet avis de course, le texte français prévaudra.</w:t>
      </w:r>
      <w:r w:rsidDel="00000000" w:rsidR="00000000" w:rsidRPr="00000000">
        <w:rPr>
          <w:rtl w:val="0"/>
        </w:rPr>
      </w:r>
    </w:p>
    <w:p w:rsidR="00000000" w:rsidDel="00000000" w:rsidP="00000000" w:rsidRDefault="00000000" w:rsidRPr="00000000" w14:paraId="00000011">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vertAlign w:val="baseline"/>
        </w:rPr>
      </w:pPr>
      <w:r w:rsidDel="00000000" w:rsidR="00000000" w:rsidRPr="00000000">
        <w:rPr>
          <w:rFonts w:ascii="Arial" w:cs="Arial" w:eastAsia="Arial" w:hAnsi="Arial"/>
          <w:b w:val="1"/>
          <w:vertAlign w:val="baseline"/>
          <w:rtl w:val="0"/>
        </w:rPr>
        <w:t xml:space="preserve">2.</w:t>
        <w:tab/>
      </w:r>
      <w:r w:rsidDel="00000000" w:rsidR="00000000" w:rsidRPr="00000000">
        <w:rPr>
          <w:rFonts w:ascii="Arial" w:cs="Arial" w:eastAsia="Arial" w:hAnsi="Arial"/>
          <w:b w:val="1"/>
          <w:rtl w:val="0"/>
        </w:rPr>
        <w:t xml:space="preserve">PUBLICITÉ</w:t>
      </w:r>
      <w:r w:rsidDel="00000000" w:rsidR="00000000" w:rsidRPr="00000000">
        <w:rPr>
          <w:rtl w:val="0"/>
        </w:rPr>
      </w:r>
    </w:p>
    <w:p w:rsidR="00000000" w:rsidDel="00000000" w:rsidP="00000000" w:rsidRDefault="00000000" w:rsidRPr="00000000" w14:paraId="00000013">
      <w:pPr>
        <w:ind w:left="709" w:firstLine="0"/>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En application de la Régulation 20 de l’ISAF (Code de Publicité), </w:t>
      </w:r>
      <w:r w:rsidDel="00000000" w:rsidR="00000000" w:rsidRPr="00000000">
        <w:rPr>
          <w:rFonts w:ascii="Arial" w:cs="Arial" w:eastAsia="Arial" w:hAnsi="Arial"/>
          <w:vertAlign w:val="baseline"/>
          <w:rtl w:val="0"/>
        </w:rPr>
        <w:t xml:space="preserve">telle que modifiée par le règlement de publicité de la FFVoile</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vertAlign w:val="baseline"/>
          <w:rtl w:val="0"/>
        </w:rPr>
        <w:t xml:space="preserve">les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bateaux peuvent être tenus de porter la publicité choisie et fournie par l’autorité organisatrice.</w:t>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3.</w:t>
        <w:tab/>
        <w:t xml:space="preserve">ADMISSIBILITE ET INSCRIPTION</w:t>
      </w:r>
      <w:r w:rsidDel="00000000" w:rsidR="00000000" w:rsidRPr="00000000">
        <w:rPr>
          <w:rtl w:val="0"/>
        </w:rPr>
      </w:r>
    </w:p>
    <w:p w:rsidR="00000000" w:rsidDel="00000000" w:rsidP="00000000" w:rsidRDefault="00000000" w:rsidRPr="00000000" w14:paraId="00000016">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3.1</w:t>
        <w:tab/>
        <w:t xml:space="preserve">La régate est ouverte à </w:t>
        <w:tab/>
        <w:t xml:space="preserve">: </w:t>
      </w:r>
    </w:p>
    <w:p w:rsidR="00000000" w:rsidDel="00000000" w:rsidP="00000000" w:rsidRDefault="00000000" w:rsidRPr="00000000" w14:paraId="00000017">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3.1.1</w:t>
        <w:tab/>
        <w:tab/>
        <w:t xml:space="preserve">- tous les bateaux des classes D3 à D6</w:t>
      </w:r>
    </w:p>
    <w:p w:rsidR="00000000" w:rsidDel="00000000" w:rsidP="00000000" w:rsidRDefault="00000000" w:rsidRPr="00000000" w14:paraId="00000018">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3.2</w:t>
        <w:tab/>
        <w:t xml:space="preserve">Les bateaux admissibles peuvent s’inscrire en complétant le formulaire et et en l’envoyant, </w:t>
      </w:r>
    </w:p>
    <w:p w:rsidR="00000000" w:rsidDel="00000000" w:rsidP="00000000" w:rsidRDefault="00000000" w:rsidRPr="00000000" w14:paraId="00000019">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bailletd@wanadoo.fr</w:t>
      </w:r>
    </w:p>
    <w:p w:rsidR="00000000" w:rsidDel="00000000" w:rsidP="00000000" w:rsidRDefault="00000000" w:rsidRPr="00000000" w14:paraId="0000001A">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3.3</w:t>
        <w:tab/>
        <w:t xml:space="preserve">Les concurrents (chaque membre de l’équipage) possédant une licence FFVoile doivent présenter au moment de leur inscription : </w:t>
      </w:r>
    </w:p>
    <w:p w:rsidR="00000000" w:rsidDel="00000000" w:rsidP="00000000" w:rsidRDefault="00000000" w:rsidRPr="00000000" w14:paraId="0000001B">
      <w:pPr>
        <w:ind w:left="1410"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tab/>
        <w:tab/>
        <w:t xml:space="preserve">leur licence FFVoile valide portant le cachet compétition ou accompagnée d’un certificat médical de non contre-indication à la pratique de la voile en compétition datant de moins d’un an, ainsi qu’une autorisation parentale pour les mineurs</w:t>
      </w:r>
    </w:p>
    <w:p w:rsidR="00000000" w:rsidDel="00000000" w:rsidP="00000000" w:rsidRDefault="00000000" w:rsidRPr="00000000" w14:paraId="0000001C">
      <w:pPr>
        <w:ind w:firstLine="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tab/>
        <w:t xml:space="preserve">si nécessaire, l’autorisation de port de publicité</w:t>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 </w:t>
        <w:tab/>
        <w:t xml:space="preserve">le certificat de jauge ou de conformité </w:t>
      </w:r>
    </w:p>
    <w:p w:rsidR="00000000" w:rsidDel="00000000" w:rsidP="00000000" w:rsidRDefault="00000000" w:rsidRPr="00000000" w14:paraId="0000001E">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3.4</w:t>
        <w:tab/>
        <w:t xml:space="preserve">Les concurrents étrangers  (chaque membre de l’équipage) ne possédant pas de licence FFVoile doivent présenter au moment de leur inscription : </w:t>
      </w:r>
    </w:p>
    <w:p w:rsidR="00000000" w:rsidDel="00000000" w:rsidP="00000000" w:rsidRDefault="00000000" w:rsidRPr="00000000" w14:paraId="0000001F">
      <w:pPr>
        <w:numPr>
          <w:ilvl w:val="0"/>
          <w:numId w:val="2"/>
        </w:numPr>
        <w:ind w:left="1428" w:hanging="71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 justificatif de leur appartenance à une Autorité Nationale membre de l'ISAF,</w:t>
      </w:r>
    </w:p>
    <w:p w:rsidR="00000000" w:rsidDel="00000000" w:rsidP="00000000" w:rsidRDefault="00000000" w:rsidRPr="00000000" w14:paraId="00000020">
      <w:pPr>
        <w:numPr>
          <w:ilvl w:val="0"/>
          <w:numId w:val="2"/>
        </w:numPr>
        <w:ind w:left="1428" w:hanging="71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certificat de jauge ou de conformité,</w:t>
      </w:r>
    </w:p>
    <w:p w:rsidR="00000000" w:rsidDel="00000000" w:rsidP="00000000" w:rsidRDefault="00000000" w:rsidRPr="00000000" w14:paraId="00000021">
      <w:pPr>
        <w:numPr>
          <w:ilvl w:val="0"/>
          <w:numId w:val="2"/>
        </w:numPr>
        <w:ind w:left="1428" w:hanging="719"/>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 justificatif d’assurance valide en responsabilité civile avec une couverture minimale d’1,5 million d’Euros,</w:t>
      </w:r>
    </w:p>
    <w:p w:rsidR="00000000" w:rsidDel="00000000" w:rsidP="00000000" w:rsidRDefault="00000000" w:rsidRPr="00000000" w14:paraId="00000022">
      <w:pPr>
        <w:numPr>
          <w:ilvl w:val="0"/>
          <w:numId w:val="2"/>
        </w:numPr>
        <w:ind w:left="1428" w:hanging="719"/>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un certificat médical de non contre-indication à la pratique de la voile en compétition datant de moins d’un an (rédigé en français ou en anglais) ainsi qu’une autorisation parentale pour les mineurs.</w:t>
      </w:r>
      <w:r w:rsidDel="00000000" w:rsidR="00000000" w:rsidRPr="00000000">
        <w:rPr>
          <w:rtl w:val="0"/>
        </w:rPr>
      </w:r>
    </w:p>
    <w:p w:rsidR="00000000" w:rsidDel="00000000" w:rsidP="00000000" w:rsidRDefault="00000000" w:rsidRPr="00000000" w14:paraId="0000002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4.</w:t>
        <w:tab/>
        <w:t xml:space="preserve">DROITS </w:t>
      </w:r>
      <w:r w:rsidDel="00000000" w:rsidR="00000000" w:rsidRPr="00000000">
        <w:rPr>
          <w:rFonts w:ascii="Arial" w:cs="Arial" w:eastAsia="Arial" w:hAnsi="Arial"/>
          <w:b w:val="1"/>
          <w:rtl w:val="0"/>
        </w:rPr>
        <w:t xml:space="preserve">À PAYER</w:t>
      </w:r>
      <w:r w:rsidDel="00000000" w:rsidR="00000000" w:rsidRPr="00000000">
        <w:rPr>
          <w:rFonts w:ascii="Arial" w:cs="Arial" w:eastAsia="Arial" w:hAnsi="Arial"/>
          <w:b w:val="1"/>
          <w:vertAlign w:val="baseline"/>
          <w:rtl w:val="0"/>
        </w:rPr>
        <w:t xml:space="preserve"> : sans objet</w:t>
      </w:r>
      <w:r w:rsidDel="00000000" w:rsidR="00000000" w:rsidRPr="00000000">
        <w:rPr>
          <w:rtl w:val="0"/>
        </w:rPr>
      </w:r>
    </w:p>
    <w:p w:rsidR="00000000" w:rsidDel="00000000" w:rsidP="00000000" w:rsidRDefault="00000000" w:rsidRPr="00000000" w14:paraId="00000025">
      <w:pPr>
        <w:ind w:firstLine="708"/>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5.</w:t>
        <w:tab/>
        <w:t xml:space="preserve">PROGRAMME</w:t>
      </w: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5.1</w:t>
        <w:tab/>
        <w:t xml:space="preserve">Confirmation d’inscription :</w:t>
      </w:r>
    </w:p>
    <w:p w:rsidR="00000000" w:rsidDel="00000000" w:rsidP="00000000" w:rsidRDefault="00000000" w:rsidRPr="00000000" w14:paraId="00000029">
      <w:pPr>
        <w:ind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Jour et date : </w:t>
      </w:r>
      <w:r w:rsidDel="00000000" w:rsidR="00000000" w:rsidRPr="00000000">
        <w:rPr>
          <w:rFonts w:ascii="Arial" w:cs="Arial" w:eastAsia="Arial" w:hAnsi="Arial"/>
          <w:rtl w:val="0"/>
        </w:rPr>
        <w:t xml:space="preserve">31 août 2025</w:t>
      </w:r>
      <w:r w:rsidDel="00000000" w:rsidR="00000000" w:rsidRPr="00000000">
        <w:rPr>
          <w:rFonts w:ascii="Arial" w:cs="Arial" w:eastAsia="Arial" w:hAnsi="Arial"/>
          <w:vertAlign w:val="baseline"/>
          <w:rtl w:val="0"/>
        </w:rPr>
        <w:tab/>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5.2</w:t>
        <w:tab/>
        <w:t xml:space="preserve">Jauge et contrôles : Sans objet</w:t>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5.3</w:t>
        <w:tab/>
        <w:t xml:space="preserve">Jours de course </w:t>
      </w:r>
    </w:p>
    <w:tbl>
      <w:tblPr>
        <w:tblStyle w:val="Table2"/>
        <w:tblW w:w="6615.0" w:type="dxa"/>
        <w:jc w:val="left"/>
        <w:tblInd w:w="649.0" w:type="dxa"/>
        <w:tblLayout w:type="fixed"/>
        <w:tblLook w:val="0000"/>
      </w:tblPr>
      <w:tblGrid>
        <w:gridCol w:w="1335"/>
        <w:gridCol w:w="3570"/>
        <w:gridCol w:w="1710"/>
        <w:tblGridChange w:id="0">
          <w:tblGrid>
            <w:gridCol w:w="1335"/>
            <w:gridCol w:w="3570"/>
            <w:gridCol w:w="1710"/>
          </w:tblGrid>
        </w:tblGridChange>
      </w:tblGrid>
      <w:tr>
        <w:trPr>
          <w:cantSplit w:val="0"/>
          <w:trHeight w:val="244.9804687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Heure du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vertAlign w:val="baseline"/>
                <w:rtl w:val="0"/>
              </w:rPr>
              <w:t xml:space="preserve"> signal d’avertissement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jc w:val="both"/>
              <w:rPr>
                <w:vertAlign w:val="baseline"/>
              </w:rPr>
            </w:pPr>
            <w:r w:rsidDel="00000000" w:rsidR="00000000" w:rsidRPr="00000000">
              <w:rPr>
                <w:rFonts w:ascii="Arial" w:cs="Arial" w:eastAsia="Arial" w:hAnsi="Arial"/>
                <w:vertAlign w:val="baseline"/>
                <w:rtl w:val="0"/>
              </w:rPr>
              <w:t xml:space="preserve">Classe(s)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08</w:t>
            </w:r>
            <w:r w:rsidDel="00000000" w:rsidR="00000000" w:rsidRPr="00000000">
              <w:rPr>
                <w:rFonts w:ascii="Arial" w:cs="Arial" w:eastAsia="Arial" w:hAnsi="Arial"/>
                <w:vertAlign w:val="baseline"/>
                <w:rtl w:val="0"/>
              </w:rPr>
              <w:t xml:space="preserve">/202</w:t>
            </w: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11 heures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jc w:val="both"/>
              <w:rPr>
                <w:vertAlign w:val="baseline"/>
              </w:rPr>
            </w:pPr>
            <w:r w:rsidDel="00000000" w:rsidR="00000000" w:rsidRPr="00000000">
              <w:rPr>
                <w:rFonts w:ascii="Arial" w:cs="Arial" w:eastAsia="Arial" w:hAnsi="Arial"/>
                <w:vertAlign w:val="baseline"/>
                <w:rtl w:val="0"/>
              </w:rPr>
              <w:t xml:space="preserve">Toutes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jc w:val="both"/>
              <w:rPr>
                <w:vertAlign w:val="baseline"/>
              </w:rPr>
            </w:pPr>
            <w:r w:rsidDel="00000000" w:rsidR="00000000" w:rsidRPr="00000000">
              <w:rPr>
                <w:rtl w:val="0"/>
              </w:rPr>
            </w:r>
          </w:p>
        </w:tc>
      </w:tr>
    </w:tbl>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ind w:left="705" w:hanging="705"/>
        <w:rPr>
          <w:rFonts w:ascii="Arial" w:cs="Arial" w:eastAsia="Arial" w:hAnsi="Arial"/>
          <w:b w:val="0"/>
          <w:vertAlign w:val="baseline"/>
        </w:rPr>
      </w:pPr>
      <w:r w:rsidDel="00000000" w:rsidR="00000000" w:rsidRPr="00000000">
        <w:rPr>
          <w:rFonts w:ascii="Arial" w:cs="Arial" w:eastAsia="Arial" w:hAnsi="Arial"/>
          <w:vertAlign w:val="baseline"/>
          <w:rtl w:val="0"/>
        </w:rPr>
        <w:t xml:space="preserve">5.4</w:t>
      </w:r>
      <w:r w:rsidDel="00000000" w:rsidR="00000000" w:rsidRPr="00000000">
        <w:rPr>
          <w:rFonts w:ascii="Arial" w:cs="Arial" w:eastAsia="Arial" w:hAnsi="Arial"/>
          <w:b w:val="1"/>
          <w:vertAlign w:val="baseline"/>
          <w:rtl w:val="0"/>
        </w:rPr>
        <w:tab/>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Aucun signal d’avertissement ne sera donné après 16h00 pour    une nouvelle procédure.</w:t>
      </w:r>
      <w:r w:rsidDel="00000000" w:rsidR="00000000" w:rsidRPr="00000000">
        <w:rPr>
          <w:rtl w:val="0"/>
        </w:rPr>
      </w:r>
    </w:p>
    <w:p w:rsidR="00000000" w:rsidDel="00000000" w:rsidP="00000000" w:rsidRDefault="00000000" w:rsidRPr="00000000" w14:paraId="0000003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6.</w:t>
        <w:tab/>
        <w:t xml:space="preserve">INSTRUCTIONS DE COURSE </w:t>
      </w:r>
      <w:r w:rsidDel="00000000" w:rsidR="00000000" w:rsidRPr="00000000">
        <w:rPr>
          <w:rtl w:val="0"/>
        </w:rPr>
      </w:r>
    </w:p>
    <w:p w:rsidR="00000000" w:rsidDel="00000000" w:rsidP="00000000" w:rsidRDefault="00000000" w:rsidRPr="00000000" w14:paraId="00000039">
      <w:pPr>
        <w:ind w:left="70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Les instructions de course et les annexes éventuelles seront affichées selon la Prescription  Fédérale</w:t>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7.</w:t>
        <w:tab/>
        <w:t xml:space="preserve">LES PARCOURS</w:t>
      </w:r>
      <w:r w:rsidDel="00000000" w:rsidR="00000000" w:rsidRPr="00000000">
        <w:rPr>
          <w:rtl w:val="0"/>
        </w:rPr>
      </w:r>
    </w:p>
    <w:p w:rsidR="00000000" w:rsidDel="00000000" w:rsidP="00000000" w:rsidRDefault="00000000" w:rsidRPr="00000000" w14:paraId="0000003C">
      <w:pPr>
        <w:ind w:left="705" w:hanging="70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w:t>
        <w:tab/>
        <w:t xml:space="preserve">Les parcours seront de type « Banane »  ou « raid » et affichés au tableau  officiel.</w:t>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8.</w:t>
        <w:tab/>
        <w:t xml:space="preserve">CLASSEMENT</w:t>
      </w:r>
      <w:r w:rsidDel="00000000" w:rsidR="00000000" w:rsidRPr="00000000">
        <w:rPr>
          <w:rtl w:val="0"/>
        </w:rPr>
      </w:r>
    </w:p>
    <w:p w:rsidR="00000000" w:rsidDel="00000000" w:rsidP="00000000" w:rsidRDefault="00000000" w:rsidRPr="00000000" w14:paraId="0000003F">
      <w:pPr>
        <w:ind w:firstLine="708"/>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1 courses devront être validées pour valider la compétition.</w:t>
      </w:r>
      <w:r w:rsidDel="00000000" w:rsidR="00000000" w:rsidRPr="00000000">
        <w:rPr>
          <w:rtl w:val="0"/>
        </w:rPr>
      </w:r>
    </w:p>
    <w:p w:rsidR="00000000" w:rsidDel="00000000" w:rsidP="00000000" w:rsidRDefault="00000000" w:rsidRPr="00000000" w14:paraId="0000004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9.</w:t>
        <w:tab/>
        <w:t xml:space="preserve">COMMUNICATION RADIO</w:t>
      </w:r>
      <w:r w:rsidDel="00000000" w:rsidR="00000000" w:rsidRPr="00000000">
        <w:rPr>
          <w:rtl w:val="0"/>
        </w:rPr>
      </w:r>
    </w:p>
    <w:p w:rsidR="00000000" w:rsidDel="00000000" w:rsidP="00000000" w:rsidRDefault="00000000" w:rsidRPr="00000000" w14:paraId="00000042">
      <w:pPr>
        <w:ind w:left="70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Excepté en cas d’urgence, un bateau ne doit ni effectuer de transmission radio pendant qu’il est en course ni recevoir de communications radio qui ne soient pas recevables par tous les bateaux. Cette restriction s’applique également aux téléphones portables.</w:t>
      </w:r>
      <w:r w:rsidDel="00000000" w:rsidR="00000000" w:rsidRPr="00000000">
        <w:rPr>
          <w:rtl w:val="0"/>
        </w:rPr>
      </w:r>
    </w:p>
    <w:p w:rsidR="00000000" w:rsidDel="00000000" w:rsidP="00000000" w:rsidRDefault="00000000" w:rsidRPr="00000000" w14:paraId="0000004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10.</w:t>
        <w:tab/>
        <w:t xml:space="preserve">PRIX</w:t>
      </w:r>
      <w:r w:rsidDel="00000000" w:rsidR="00000000" w:rsidRPr="00000000">
        <w:rPr>
          <w:rtl w:val="0"/>
        </w:rPr>
      </w:r>
    </w:p>
    <w:p w:rsidR="00000000" w:rsidDel="00000000" w:rsidP="00000000" w:rsidRDefault="00000000" w:rsidRPr="00000000" w14:paraId="00000045">
      <w:pPr>
        <w:ind w:firstLine="708"/>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Des prix seront distribués comme suit : selon disponibilité.</w:t>
      </w:r>
      <w:r w:rsidDel="00000000" w:rsidR="00000000" w:rsidRPr="00000000">
        <w:rPr>
          <w:rtl w:val="0"/>
        </w:rPr>
      </w:r>
    </w:p>
    <w:p w:rsidR="00000000" w:rsidDel="00000000" w:rsidP="00000000" w:rsidRDefault="00000000" w:rsidRPr="00000000" w14:paraId="00000046">
      <w:pPr>
        <w:ind w:firstLine="708"/>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11.</w:t>
        <w:tab/>
        <w:t xml:space="preserve">DECISION DE COURIR</w:t>
      </w:r>
      <w:r w:rsidDel="00000000" w:rsidR="00000000" w:rsidRPr="00000000">
        <w:rPr>
          <w:rtl w:val="0"/>
        </w:rPr>
      </w:r>
    </w:p>
    <w:p w:rsidR="00000000" w:rsidDel="00000000" w:rsidP="00000000" w:rsidRDefault="00000000" w:rsidRPr="00000000" w14:paraId="00000048">
      <w:pPr>
        <w:ind w:left="70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décision d’un concurrent de participer à une course ou de rester en course relève de sa seule responsabilité. En conséquence, en acceptant de participer à la course ou de rester en course, le concurrent décharge l’autorité organisatrice de toute responsabilité en cas de dommage (matériel et/ou corporel).</w:t>
      </w:r>
    </w:p>
    <w:p w:rsidR="00000000" w:rsidDel="00000000" w:rsidP="00000000" w:rsidRDefault="00000000" w:rsidRPr="00000000" w14:paraId="0000004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12.</w:t>
        <w:tab/>
        <w:t xml:space="preserve">INFORMATIONS </w:t>
      </w:r>
      <w:r w:rsidDel="00000000" w:rsidR="00000000" w:rsidRPr="00000000">
        <w:rPr>
          <w:rFonts w:ascii="Arial" w:cs="Arial" w:eastAsia="Arial" w:hAnsi="Arial"/>
          <w:b w:val="1"/>
          <w:rtl w:val="0"/>
        </w:rPr>
        <w:t xml:space="preserve">COMPLÉMENTAIRES</w:t>
      </w:r>
      <w:r w:rsidDel="00000000" w:rsidR="00000000" w:rsidRPr="00000000">
        <w:rPr>
          <w:rtl w:val="0"/>
        </w:rPr>
      </w:r>
    </w:p>
    <w:p w:rsidR="00000000" w:rsidDel="00000000" w:rsidP="00000000" w:rsidRDefault="00000000" w:rsidRPr="00000000" w14:paraId="0000004B">
      <w:pPr>
        <w:ind w:firstLine="708"/>
        <w:jc w:val="both"/>
        <w:rPr>
          <w:vertAlign w:val="baseline"/>
        </w:rPr>
      </w:pPr>
      <w:r w:rsidDel="00000000" w:rsidR="00000000" w:rsidRPr="00000000">
        <w:rPr>
          <w:rFonts w:ascii="Arial" w:cs="Arial" w:eastAsia="Arial" w:hAnsi="Arial"/>
          <w:vertAlign w:val="baseline"/>
          <w:rtl w:val="0"/>
        </w:rPr>
        <w:t xml:space="preserve">Pour toutes informations complémentaires, veuillez contacter : baillet Daniel 06 95 82 45 14.</w:t>
      </w:r>
      <w:r w:rsidDel="00000000" w:rsidR="00000000" w:rsidRPr="00000000">
        <w:rPr>
          <w:rtl w:val="0"/>
        </w:rPr>
      </w:r>
    </w:p>
    <w:p w:rsidR="00000000" w:rsidDel="00000000" w:rsidP="00000000" w:rsidRDefault="00000000" w:rsidRPr="00000000" w14:paraId="0000004C">
      <w:pPr>
        <w:ind w:firstLine="708"/>
        <w:jc w:val="both"/>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sz w:val="24"/>
          <w:szCs w:val="24"/>
          <w:vertAlign w:val="baseline"/>
          <w:rtl w:val="0"/>
        </w:rPr>
        <w:t xml:space="preserve">bailletd@wanadoo.fr</w:t>
      </w:r>
      <w:r w:rsidDel="00000000" w:rsidR="00000000" w:rsidRPr="00000000">
        <w:rPr>
          <w:rtl w:val="0"/>
        </w:rPr>
      </w:r>
    </w:p>
    <w:sectPr>
      <w:headerReference r:id="rId6" w:type="default"/>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839470" cy="8445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9470" cy="84455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-683894</wp:posOffset>
          </wp:positionH>
          <wp:positionV relativeFrom="paragraph">
            <wp:posOffset>-254633</wp:posOffset>
          </wp:positionV>
          <wp:extent cx="1894840" cy="847090"/>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94840" cy="8470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0"/>
      <w:numFmt w:val="bullet"/>
      <w:lvlText w:val="-"/>
      <w:lvlJc w:val="left"/>
      <w:pPr>
        <w:ind w:left="1428"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